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685E69CC" w14:textId="214FCE91" w:rsidR="009912CA" w:rsidRPr="00522196" w:rsidRDefault="00522196" w:rsidP="00522196">
      <w:pPr>
        <w:pStyle w:val="Nagwek2"/>
      </w:pPr>
      <w:r w:rsidRPr="00522196">
        <w:t xml:space="preserve">Naprawa bieżąca Silnika Głównego LB i PB </w:t>
      </w:r>
      <w:r w:rsidR="008C3F0A">
        <w:t xml:space="preserve">na </w:t>
      </w:r>
      <w:r w:rsidRPr="00522196">
        <w:t>ORP WODNIK</w:t>
      </w:r>
      <w:r w:rsidR="009912CA" w:rsidRPr="00522196">
        <w:t>.</w:t>
      </w:r>
    </w:p>
    <w:p w14:paraId="3EFE6022" w14:textId="1F32511C" w:rsidR="00594AE6" w:rsidRDefault="00E410FA" w:rsidP="00522196">
      <w:pPr>
        <w:pStyle w:val="Nagwek2"/>
      </w:pPr>
      <w:r w:rsidRPr="008B3E8B">
        <w:t>Zakres prac zawarto w załącznik</w:t>
      </w:r>
      <w:r w:rsidR="008B3E8B" w:rsidRPr="008B3E8B">
        <w:t>u</w:t>
      </w:r>
      <w:r w:rsidRPr="008B3E8B">
        <w:t>:</w:t>
      </w:r>
      <w:r w:rsidR="00594AE6">
        <w:t xml:space="preserve"> </w:t>
      </w:r>
    </w:p>
    <w:p w14:paraId="6DC4B052" w14:textId="3CDD00D7" w:rsidR="00CD401E" w:rsidRPr="00CD401E" w:rsidRDefault="00594AE6" w:rsidP="00522196">
      <w:pPr>
        <w:pStyle w:val="Nagwek2"/>
        <w:numPr>
          <w:ilvl w:val="0"/>
          <w:numId w:val="0"/>
        </w:numPr>
        <w:ind w:left="709"/>
        <w:rPr>
          <w:b/>
        </w:rPr>
      </w:pPr>
      <w:r w:rsidRPr="00CD401E">
        <w:t xml:space="preserve">Załącznik nr 1 - Wykaz Prac Naprawczych - </w:t>
      </w:r>
      <w:bookmarkStart w:id="0" w:name="_Hlk173754964"/>
      <w:r w:rsidR="00522196" w:rsidRPr="00522196">
        <w:rPr>
          <w:bCs w:val="0"/>
        </w:rPr>
        <w:t xml:space="preserve">Naprawa bieżąca Silnika Głównego LB i PB  </w:t>
      </w:r>
      <w:r w:rsidR="00522196" w:rsidRPr="00522196">
        <w:rPr>
          <w:bCs w:val="0"/>
        </w:rPr>
        <w:br/>
        <w:t>ORP WODNIK</w:t>
      </w:r>
      <w:r w:rsidR="00522196">
        <w:rPr>
          <w:bCs w:val="0"/>
        </w:rPr>
        <w:t>.</w:t>
      </w:r>
    </w:p>
    <w:bookmarkEnd w:id="0"/>
    <w:p w14:paraId="75E18EDD" w14:textId="1A31541E" w:rsidR="00E410FA" w:rsidRPr="008B3E8B" w:rsidRDefault="00E410FA" w:rsidP="0052219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6296094B" w:rsidR="00CB2FB4" w:rsidRPr="003D661F" w:rsidRDefault="00DC157F" w:rsidP="00522196">
      <w:pPr>
        <w:pStyle w:val="Nagwek2"/>
      </w:pPr>
      <w:r w:rsidRPr="003D661F">
        <w:t xml:space="preserve">Termin realizacji usługi: </w:t>
      </w:r>
      <w:r w:rsidR="00B00ADF">
        <w:t>zgodnie z zapisami umowy.</w:t>
      </w:r>
    </w:p>
    <w:p w14:paraId="5245CE51" w14:textId="315D4687" w:rsidR="00DC157F" w:rsidRPr="003D661F" w:rsidRDefault="00A9381D" w:rsidP="00522196">
      <w:pPr>
        <w:pStyle w:val="Nagwek2"/>
      </w:pPr>
      <w:r w:rsidRPr="003D661F">
        <w:t xml:space="preserve">Miejsce realizacji usługi – Port Wojenny Gdynia, </w:t>
      </w:r>
      <w:r>
        <w:t xml:space="preserve">ORP </w:t>
      </w:r>
      <w:r w:rsidR="00E43251">
        <w:t>WODNIK</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52219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52219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52219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52219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52219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52219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52219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52219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52219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52219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52219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77777777" w:rsidR="004C71E9" w:rsidRDefault="004C71E9" w:rsidP="0052219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7777777" w:rsidR="004C71E9" w:rsidRPr="003D661F" w:rsidRDefault="004C71E9" w:rsidP="0052219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52219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52219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52219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52219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52219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52219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52219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52219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522196">
      <w:pPr>
        <w:pStyle w:val="Nagwek2"/>
      </w:pPr>
      <w:r w:rsidRPr="0002739A">
        <w:t>P</w:t>
      </w:r>
      <w:r w:rsidRPr="00D66B8B">
        <w:t xml:space="preserve">race </w:t>
      </w:r>
      <w:r>
        <w:t>serwisowe</w:t>
      </w:r>
      <w:r w:rsidRPr="00D66B8B">
        <w:t xml:space="preserve"> muszą przebiegać zgodnie z</w:t>
      </w:r>
      <w:r w:rsidRPr="0002739A">
        <w:t>:</w:t>
      </w:r>
    </w:p>
    <w:p w14:paraId="4F2BB6E7" w14:textId="13E677B2" w:rsidR="004C71E9" w:rsidRPr="00171110" w:rsidRDefault="004C71E9" w:rsidP="00522196">
      <w:pPr>
        <w:pStyle w:val="Nagwek2"/>
        <w:numPr>
          <w:ilvl w:val="1"/>
          <w:numId w:val="44"/>
        </w:numPr>
      </w:pPr>
      <w:r w:rsidRPr="00D66B8B">
        <w:t>„</w:t>
      </w:r>
      <w:r w:rsidRPr="00171110">
        <w:t xml:space="preserve">Instrukcją o ochronie przeciwpożarowej w resorcie obrony narodowej” sygn. ppoż </w:t>
      </w:r>
      <w:r w:rsidR="009A383B">
        <w:t>4</w:t>
      </w:r>
      <w:r w:rsidRPr="00171110">
        <w:t>/20</w:t>
      </w:r>
      <w:r w:rsidR="009A383B">
        <w:t>24</w:t>
      </w:r>
      <w:r w:rsidRPr="00171110">
        <w:t>;</w:t>
      </w:r>
    </w:p>
    <w:p w14:paraId="5B1493BC" w14:textId="2F507337" w:rsidR="004C71E9" w:rsidRDefault="004C71E9" w:rsidP="00522196">
      <w:pPr>
        <w:pStyle w:val="Nagwek2"/>
        <w:numPr>
          <w:ilvl w:val="1"/>
          <w:numId w:val="44"/>
        </w:numPr>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522196">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52219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52219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522196">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52219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52219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25F7FB61" w14:textId="77777777" w:rsidR="007E4A30" w:rsidRDefault="007E4A30" w:rsidP="007E4A30">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35737F92" w14:textId="77777777" w:rsidR="007E4A30" w:rsidRDefault="007E4A30" w:rsidP="007E4A30">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2AF1DAE2" w14:textId="77777777" w:rsidR="007E4A30" w:rsidRDefault="007E4A30" w:rsidP="007E4A30">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1B66D796" w14:textId="77777777" w:rsidR="007E4A30" w:rsidRDefault="007E4A30" w:rsidP="007E4A30">
      <w:pPr>
        <w:pStyle w:val="Nagwek2"/>
      </w:pPr>
      <w:r>
        <w:t xml:space="preserve">Gwarancja obejmuje także urządzenia, usługi nabyte w ramach niniejszej umowy </w:t>
      </w:r>
      <w:r>
        <w:br/>
        <w:t>u kooperantów Wykonawcy.</w:t>
      </w:r>
    </w:p>
    <w:p w14:paraId="536953E8" w14:textId="77777777" w:rsidR="007E4A30" w:rsidRDefault="007E4A30" w:rsidP="007E4A30">
      <w:pPr>
        <w:pStyle w:val="Nagwek2"/>
      </w:pPr>
      <w:r>
        <w:t xml:space="preserve">Reklamacje z tytułu udzielonej gwarancji będą przedkładane przez Dowódcę JW. </w:t>
      </w:r>
      <w:r>
        <w:br/>
        <w:t>do Wykonawcy z powiadomieniem Zamawiającego pisemnie, w formie Zgłoszenia Reklamacyjnego - zał. nr 5).</w:t>
      </w:r>
    </w:p>
    <w:p w14:paraId="0AC4D0E3" w14:textId="77777777" w:rsidR="007E4A30" w:rsidRDefault="007E4A30" w:rsidP="007E4A30">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3B8E53A1" w14:textId="77777777" w:rsidR="007E4A30" w:rsidRDefault="007E4A30" w:rsidP="007E4A30">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5E2B260C" w14:textId="77777777" w:rsidR="007E4A30" w:rsidRPr="005D03E5" w:rsidRDefault="007E4A30" w:rsidP="007E4A30">
      <w:pPr>
        <w:pStyle w:val="Nagwek2"/>
      </w:pPr>
      <w:r w:rsidRPr="005D03E5">
        <w:t>Okres gwarancji na SpW, przedłuża się o okres liczony od daty otrzymania zgłoszenia reklamacyjnego przez Wykonawcę, do daty podpisania Protokołu zdawczo-odbiorczego prac gwarancyjnych. Okres gwarancji oraz zakres prac należy każdorazowo odnotować w dokumentach eksploatacyjnych naprawianego SpW. (DTU-4.22.7.02(B) – rozdział 7, pkt 0702, ppkt 24).</w:t>
      </w:r>
    </w:p>
    <w:p w14:paraId="385F7D0A" w14:textId="77777777" w:rsidR="007E4A30" w:rsidRDefault="007E4A30" w:rsidP="007E4A30">
      <w:pPr>
        <w:pStyle w:val="Nagwek2"/>
      </w:pPr>
      <w:r>
        <w:t>PPG sporządza Wykonawca przy udziale komisji z JW, a zatwierdza kierownik komórki organizacyjnej odpowiadającej za jakość u Wykonawcy przeglądu serwisowego.</w:t>
      </w:r>
    </w:p>
    <w:p w14:paraId="424CCAF0" w14:textId="77777777" w:rsidR="007E4A30" w:rsidRDefault="007E4A30" w:rsidP="007E4A30">
      <w:pPr>
        <w:pStyle w:val="Nagwek2"/>
      </w:pPr>
      <w:r>
        <w:t>Załoga okrętu ma prawo do dokonania napraw urządzeń objętych gwarancją bez uzyskania uprzedniej zgody Wykonawcy w następujących przypadkach:</w:t>
      </w:r>
    </w:p>
    <w:p w14:paraId="17123F05" w14:textId="77777777" w:rsidR="007E4A30" w:rsidRPr="007A634B" w:rsidRDefault="007E4A30" w:rsidP="007E4A30">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32085086" w14:textId="77777777" w:rsidR="007E4A30" w:rsidRPr="007A634B" w:rsidRDefault="007E4A30" w:rsidP="007E4A30">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0405F6E1" w14:textId="77777777" w:rsidR="007E4A30" w:rsidRPr="007A634B" w:rsidRDefault="007E4A30" w:rsidP="007E4A30">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73DCD32D" w14:textId="77777777" w:rsidR="007E4A30" w:rsidRPr="007A634B" w:rsidRDefault="007E4A30" w:rsidP="007E4A30">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799E6373" w14:textId="77777777" w:rsidR="007E4A30" w:rsidRDefault="007E4A30" w:rsidP="007E4A30">
      <w:pPr>
        <w:pStyle w:val="Nagwek2"/>
        <w:rPr>
          <w:sz w:val="24"/>
          <w:szCs w:val="24"/>
        </w:rPr>
      </w:pPr>
      <w:r>
        <w:t>O naprawach wyszczególnionych w pkt. 7.10 Dowódca JW niezwłocznie powiadamia pisemnie Wykonawcę naprawy.</w:t>
      </w:r>
    </w:p>
    <w:p w14:paraId="4C5A2797" w14:textId="77777777" w:rsidR="007E4A30" w:rsidRPr="007B597B" w:rsidRDefault="007E4A30" w:rsidP="007E4A30">
      <w:pPr>
        <w:pStyle w:val="Nagwek2"/>
      </w:pPr>
      <w:r w:rsidRPr="007B597B">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Pr="005D03E5">
        <w:t xml:space="preserve">(DTU-4.22.7.02(B) – </w:t>
      </w:r>
      <w:r>
        <w:t>rozdział 7, pkt 0702, ppkt 15).</w:t>
      </w:r>
    </w:p>
    <w:p w14:paraId="39ADAC97" w14:textId="77777777" w:rsidR="007E4A30" w:rsidRPr="005D03E5" w:rsidRDefault="007E4A30" w:rsidP="007E4A30">
      <w:pPr>
        <w:pStyle w:val="Nagwek2"/>
      </w:pPr>
      <w:r w:rsidRPr="007B597B">
        <w:t>W przypadku opisanym w pkt 7.12 zgodnie z (DTU-4.22.7.02(B) – rozdział 7, pkt 0702, Dowódca Jednostki Wojskowej postępuje zgodnie z procedurą opisan</w:t>
      </w:r>
      <w:r>
        <w:t xml:space="preserve">a w ppkt 16, 17, 18, 19) tzn. </w:t>
      </w:r>
    </w:p>
    <w:p w14:paraId="56C2E370" w14:textId="77777777" w:rsidR="007E4A30" w:rsidRDefault="007E4A30" w:rsidP="007E4A30">
      <w:pPr>
        <w:pStyle w:val="Nagwek2"/>
        <w:numPr>
          <w:ilvl w:val="0"/>
          <w:numId w:val="0"/>
        </w:numPr>
        <w:ind w:left="993"/>
        <w:rPr>
          <w:bCs w:val="0"/>
        </w:rPr>
      </w:pPr>
      <w:r w:rsidRPr="007B597B">
        <w:t>W przypadku niezaakceptowania argumentów Wykonawcy, dowódca jednostki wojskowej przesyła kopie dokumentów do Zamawiającego, z wnioskiem o wyegzekwowanie zobowiązań gwarancyjnych. O powyższym fakcie powiadamia pisemnie szefów/kierowników komórek organizacyjn</w:t>
      </w:r>
      <w:r>
        <w:t xml:space="preserve">ych MON określonych w umowie. </w:t>
      </w:r>
    </w:p>
    <w:p w14:paraId="0D9C1D93" w14:textId="77777777" w:rsidR="007E4A30" w:rsidRDefault="007E4A30" w:rsidP="007E4A30">
      <w:pPr>
        <w:pStyle w:val="Nagwek2"/>
        <w:numPr>
          <w:ilvl w:val="0"/>
          <w:numId w:val="0"/>
        </w:numPr>
        <w:ind w:left="993"/>
        <w:rPr>
          <w:bCs w:val="0"/>
        </w:rPr>
      </w:pPr>
      <w:r w:rsidRPr="007B597B">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t xml:space="preserve">dotyczącymi niesprawności SpW. </w:t>
      </w:r>
    </w:p>
    <w:p w14:paraId="39275ABB" w14:textId="77777777" w:rsidR="007E4A30" w:rsidRPr="00212858" w:rsidRDefault="007E4A30" w:rsidP="007E4A30">
      <w:pPr>
        <w:pStyle w:val="Nagwek2"/>
        <w:numPr>
          <w:ilvl w:val="0"/>
          <w:numId w:val="0"/>
        </w:numPr>
        <w:ind w:left="993"/>
      </w:pPr>
      <w:r w:rsidRPr="007B597B">
        <w:t>Zamawiający po zapoznaniu się z Protokołem porozumień gwarancyjnych oraz z opiniami każdej ze stron, uwzględniając opinie prawne, podejmuje dalsze działania. Decyzja Zamawiającego, co do zasadności roszczeń gwarancyjnych jest ostateczna.</w:t>
      </w:r>
    </w:p>
    <w:p w14:paraId="35D098F7" w14:textId="77777777" w:rsidR="007E4A30" w:rsidRDefault="007E4A30" w:rsidP="007E4A30">
      <w:pPr>
        <w:pStyle w:val="Nagwek2"/>
      </w:pPr>
      <w:r>
        <w:t xml:space="preserve">W przypadku negatywnego rozpatrzenia przez Wykonawcę </w:t>
      </w:r>
      <w:r w:rsidRPr="007B597B">
        <w:t>Zgłoszenia Reklamacyjnego</w:t>
      </w:r>
      <w:r>
        <w:t xml:space="preserve">, Dowódca JW zastrzega sobie prawo do odwołania się od decyzji </w:t>
      </w:r>
      <w:r w:rsidRPr="005D03E5">
        <w:t>zgodnie z zapisami (DTU-4.22.7.02(B) – rozdział 7, pkt 0702, ppkt 16, 17, 18, 19)</w:t>
      </w:r>
    </w:p>
    <w:p w14:paraId="1E891E30" w14:textId="77777777" w:rsidR="007E4A30" w:rsidRDefault="007E4A30" w:rsidP="007E4A30">
      <w:pPr>
        <w:pStyle w:val="Nagwek2"/>
      </w:pPr>
      <w:r w:rsidRPr="007B597B">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t>.</w:t>
      </w:r>
    </w:p>
    <w:p w14:paraId="0D57E4D8" w14:textId="77777777" w:rsidR="007E4A30" w:rsidRDefault="007E4A30" w:rsidP="007E4A30">
      <w:pPr>
        <w:pStyle w:val="Nagwek2"/>
      </w:pPr>
      <w:r>
        <w:lastRenderedPageBreak/>
        <w:t>W przypadku nieosiągnięcia porozumienia w sprawie uznania niesprawności zgłoszonej „Zgłoszeniem reklamacyjnym” D-ca JW występuje z własną opinią do Zamawiającego – Komendanta Portu Wojennego Gdynia, który podejmie dalsze kroki prawne.</w:t>
      </w:r>
    </w:p>
    <w:p w14:paraId="7FF2D7EE" w14:textId="77777777" w:rsidR="007E4A30" w:rsidRDefault="007E4A30" w:rsidP="007E4A30">
      <w:pPr>
        <w:pStyle w:val="Nagwek2"/>
      </w:pPr>
      <w:r>
        <w:t xml:space="preserve">Z usunięcia niesprawności Wykonawca sporządza „Protokół Porozumień Gwarancyjnych </w:t>
      </w:r>
      <w:r>
        <w:br/>
        <w:t>nr ...”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D-cy JW. Powyższe wpisy muszą się znaleźć również w Karcie Gwarancyjnej.</w:t>
      </w:r>
    </w:p>
    <w:p w14:paraId="2252BEC6" w14:textId="77777777" w:rsidR="007E4A30" w:rsidRDefault="007E4A30" w:rsidP="007E4A30">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br/>
        <w:t>w porozumieniu z Użytkownikiem. Koszty poniesione z tytułu transportu sprzętu w obie strony pokrywa Wykonawca.</w:t>
      </w:r>
    </w:p>
    <w:p w14:paraId="5B6D6867" w14:textId="77777777" w:rsidR="007E4A30" w:rsidRDefault="007E4A30" w:rsidP="007E4A30">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br/>
        <w:t>w zakładzie Wykonawcy w ramach gwarancji oraz w przypadku niesprawności urządzenia uniemożliwiającego wykonywanie podstawowych zadań okrętu.</w:t>
      </w:r>
    </w:p>
    <w:p w14:paraId="0F4B1349" w14:textId="77777777" w:rsidR="007E4A30" w:rsidRDefault="007E4A30" w:rsidP="007E4A30">
      <w:pPr>
        <w:pStyle w:val="Nagwek2"/>
      </w:pPr>
      <w:r>
        <w:t>Wykonawca zobowiązany jest do niezwłocznego naprawienia w pełnym zakresie wszystkich szkód powstałych w wyniku przekazania urządzeń, mechanizmami wadliwie działających.</w:t>
      </w:r>
    </w:p>
    <w:p w14:paraId="4E2F7F28" w14:textId="77777777" w:rsidR="007E4A30" w:rsidRDefault="007E4A30" w:rsidP="007E4A30">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0F2DFEBF" w14:textId="77777777" w:rsidR="007E4A30" w:rsidRDefault="007E4A30" w:rsidP="007E4A30">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7292975C" w14:textId="77777777" w:rsidR="007E4A30" w:rsidRDefault="007E4A30" w:rsidP="007E4A30">
      <w:pPr>
        <w:pStyle w:val="Nagwek2"/>
      </w:pPr>
      <w:r>
        <w:t>Odpowiedzialność Wykonawcy z tytułu rękojmi za wady fizyczne i prawne nie jest wyłączona.</w:t>
      </w:r>
    </w:p>
    <w:p w14:paraId="7CC5AA8A" w14:textId="77777777" w:rsidR="007E4A30" w:rsidRDefault="007E4A30" w:rsidP="007E4A30">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7777777" w:rsidR="004C71E9" w:rsidRPr="0002739A" w:rsidRDefault="004C71E9" w:rsidP="00522196">
      <w:pPr>
        <w:pStyle w:val="Nagwek2"/>
      </w:pPr>
      <w:r w:rsidRPr="003D661F">
        <w:t xml:space="preserve">Wykonawca zobowiązany jest </w:t>
      </w:r>
      <w:r w:rsidRPr="003D661F">
        <w:rPr>
          <w:u w:val="single"/>
        </w:rPr>
        <w:t>w terminie 14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52219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lastRenderedPageBreak/>
        <w:t>Wymagania metrologiczne</w:t>
      </w:r>
      <w:r w:rsidR="004533B7" w:rsidRPr="003D661F">
        <w:t xml:space="preserve">: </w:t>
      </w:r>
    </w:p>
    <w:p w14:paraId="1C98B974" w14:textId="7E10337C" w:rsidR="00C158A2" w:rsidRPr="00C158A2" w:rsidRDefault="00C158A2" w:rsidP="0052219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0657DAF6"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36D476CD" w14:textId="77777777" w:rsidR="009F2FB9" w:rsidRDefault="009F2FB9" w:rsidP="000E71A9">
      <w:pPr>
        <w:ind w:left="432" w:firstLine="0"/>
        <w:rPr>
          <w:sz w:val="20"/>
          <w:u w:val="single"/>
        </w:rPr>
      </w:pPr>
    </w:p>
    <w:p w14:paraId="7E1285EC" w14:textId="77777777" w:rsidR="004C480D" w:rsidRDefault="004C480D" w:rsidP="008B42C8">
      <w:pPr>
        <w:ind w:left="0" w:firstLine="0"/>
        <w:rPr>
          <w:sz w:val="20"/>
          <w:u w:val="single"/>
        </w:rPr>
      </w:pPr>
    </w:p>
    <w:p w14:paraId="27A8BC80" w14:textId="77777777" w:rsidR="004C480D" w:rsidRDefault="004C480D" w:rsidP="000E71A9">
      <w:pPr>
        <w:ind w:left="432" w:firstLine="0"/>
        <w:rPr>
          <w:sz w:val="20"/>
          <w:u w:val="single"/>
        </w:rPr>
      </w:pPr>
    </w:p>
    <w:p w14:paraId="2F45F586" w14:textId="77777777" w:rsidR="004C480D" w:rsidRDefault="004C480D" w:rsidP="00B0482C">
      <w:pPr>
        <w:ind w:left="0" w:firstLine="0"/>
        <w:rPr>
          <w:sz w:val="20"/>
          <w:u w:val="single"/>
        </w:rPr>
      </w:pPr>
    </w:p>
    <w:p w14:paraId="29E8DAFD" w14:textId="77777777" w:rsidR="004C480D" w:rsidRDefault="004C480D" w:rsidP="000E71A9">
      <w:pPr>
        <w:ind w:left="432" w:firstLine="0"/>
        <w:rPr>
          <w:sz w:val="20"/>
          <w:u w:val="single"/>
        </w:rPr>
      </w:pPr>
    </w:p>
    <w:p w14:paraId="6525F66C" w14:textId="77777777" w:rsidR="004C480D" w:rsidRDefault="004C480D" w:rsidP="000E71A9">
      <w:pPr>
        <w:ind w:left="432" w:firstLine="0"/>
        <w:rPr>
          <w:sz w:val="20"/>
          <w:u w:val="single"/>
        </w:rPr>
      </w:pPr>
    </w:p>
    <w:p w14:paraId="7C6B7741" w14:textId="77777777" w:rsidR="004C480D" w:rsidRDefault="004C480D" w:rsidP="000E71A9">
      <w:pPr>
        <w:ind w:left="432" w:firstLine="0"/>
        <w:rPr>
          <w:sz w:val="20"/>
          <w:u w:val="single"/>
        </w:rPr>
      </w:pPr>
    </w:p>
    <w:p w14:paraId="41CAF9A4" w14:textId="77777777" w:rsidR="004C480D" w:rsidRDefault="004C480D" w:rsidP="000E71A9">
      <w:pPr>
        <w:ind w:left="432"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4EB0D9AE"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144529">
        <w:rPr>
          <w:sz w:val="20"/>
          <w:u w:val="single"/>
        </w:rPr>
        <w:t>3</w:t>
      </w:r>
      <w:r w:rsidRPr="005C6C66">
        <w:rPr>
          <w:sz w:val="20"/>
          <w:u w:val="single"/>
        </w:rPr>
        <w:t xml:space="preserve"> str.</w:t>
      </w:r>
    </w:p>
    <w:p w14:paraId="6B4769CA" w14:textId="085D1AE8"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144529">
        <w:rPr>
          <w:sz w:val="18"/>
          <w:szCs w:val="18"/>
        </w:rPr>
        <w:t>1</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D51E" w14:textId="77777777" w:rsidR="00C47DFE" w:rsidRDefault="00C47DFE" w:rsidP="004B039D">
      <w:r>
        <w:separator/>
      </w:r>
    </w:p>
  </w:endnote>
  <w:endnote w:type="continuationSeparator" w:id="0">
    <w:p w14:paraId="03175744" w14:textId="77777777" w:rsidR="00C47DFE" w:rsidRDefault="00C47DFE"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1AA8" w14:textId="77777777" w:rsidR="00B00ADF" w:rsidRDefault="00B00A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7FA70312"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9D453C">
            <w:rPr>
              <w:b/>
              <w:noProof/>
              <w:sz w:val="24"/>
            </w:rPr>
            <w:t>1</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9D453C">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283B" w14:textId="77777777" w:rsidR="00B00ADF" w:rsidRDefault="00B00A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62DA" w14:textId="77777777" w:rsidR="00C47DFE" w:rsidRDefault="00C47DFE" w:rsidP="004B039D">
      <w:r>
        <w:separator/>
      </w:r>
    </w:p>
  </w:footnote>
  <w:footnote w:type="continuationSeparator" w:id="0">
    <w:p w14:paraId="2CDDCB49" w14:textId="77777777" w:rsidR="00C47DFE" w:rsidRDefault="00C47DFE"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FC3DF" w14:textId="77777777" w:rsidR="00B00ADF" w:rsidRDefault="00B00A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87225" w14:textId="77777777" w:rsidR="00B00ADF" w:rsidRDefault="00B00A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83D1" w14:textId="77777777" w:rsidR="00B00ADF" w:rsidRDefault="00B00A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B5D07E2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16cid:durableId="900674435">
    <w:abstractNumId w:val="7"/>
  </w:num>
  <w:num w:numId="2" w16cid:durableId="1822385087">
    <w:abstractNumId w:val="14"/>
  </w:num>
  <w:num w:numId="3" w16cid:durableId="2120954806">
    <w:abstractNumId w:val="15"/>
  </w:num>
  <w:num w:numId="4" w16cid:durableId="271979296">
    <w:abstractNumId w:val="0"/>
  </w:num>
  <w:num w:numId="5" w16cid:durableId="1023437395">
    <w:abstractNumId w:val="34"/>
  </w:num>
  <w:num w:numId="6" w16cid:durableId="587226846">
    <w:abstractNumId w:val="3"/>
  </w:num>
  <w:num w:numId="7" w16cid:durableId="1614433853">
    <w:abstractNumId w:val="13"/>
  </w:num>
  <w:num w:numId="8" w16cid:durableId="749352994">
    <w:abstractNumId w:val="22"/>
  </w:num>
  <w:num w:numId="9" w16cid:durableId="1194808834">
    <w:abstractNumId w:val="29"/>
  </w:num>
  <w:num w:numId="10" w16cid:durableId="2046909493">
    <w:abstractNumId w:val="30"/>
  </w:num>
  <w:num w:numId="11" w16cid:durableId="865755554">
    <w:abstractNumId w:val="17"/>
  </w:num>
  <w:num w:numId="12" w16cid:durableId="903761277">
    <w:abstractNumId w:val="26"/>
  </w:num>
  <w:num w:numId="13" w16cid:durableId="1213730651">
    <w:abstractNumId w:val="28"/>
  </w:num>
  <w:num w:numId="14" w16cid:durableId="1393847383">
    <w:abstractNumId w:val="24"/>
  </w:num>
  <w:num w:numId="15" w16cid:durableId="1801223032">
    <w:abstractNumId w:val="32"/>
  </w:num>
  <w:num w:numId="16" w16cid:durableId="1707829971">
    <w:abstractNumId w:val="21"/>
  </w:num>
  <w:num w:numId="17" w16cid:durableId="305361672">
    <w:abstractNumId w:val="10"/>
  </w:num>
  <w:num w:numId="18" w16cid:durableId="1676302799">
    <w:abstractNumId w:val="5"/>
  </w:num>
  <w:num w:numId="19" w16cid:durableId="675309650">
    <w:abstractNumId w:val="35"/>
  </w:num>
  <w:num w:numId="20" w16cid:durableId="477579202">
    <w:abstractNumId w:val="2"/>
  </w:num>
  <w:num w:numId="21" w16cid:durableId="1390424900">
    <w:abstractNumId w:val="9"/>
  </w:num>
  <w:num w:numId="22" w16cid:durableId="1728065193">
    <w:abstractNumId w:val="27"/>
  </w:num>
  <w:num w:numId="23" w16cid:durableId="229073195">
    <w:abstractNumId w:val="18"/>
  </w:num>
  <w:num w:numId="24" w16cid:durableId="747463288">
    <w:abstractNumId w:val="23"/>
  </w:num>
  <w:num w:numId="25" w16cid:durableId="392197636">
    <w:abstractNumId w:val="31"/>
  </w:num>
  <w:num w:numId="26" w16cid:durableId="269944339">
    <w:abstractNumId w:val="4"/>
  </w:num>
  <w:num w:numId="27" w16cid:durableId="1535117302">
    <w:abstractNumId w:val="19"/>
  </w:num>
  <w:num w:numId="28" w16cid:durableId="432092023">
    <w:abstractNumId w:val="8"/>
  </w:num>
  <w:num w:numId="29" w16cid:durableId="1400977197">
    <w:abstractNumId w:val="19"/>
  </w:num>
  <w:num w:numId="30" w16cid:durableId="944724690">
    <w:abstractNumId w:val="26"/>
  </w:num>
  <w:num w:numId="31" w16cid:durableId="367947123">
    <w:abstractNumId w:val="32"/>
  </w:num>
  <w:num w:numId="32" w16cid:durableId="444082267">
    <w:abstractNumId w:val="6"/>
  </w:num>
  <w:num w:numId="33" w16cid:durableId="561792569">
    <w:abstractNumId w:val="19"/>
  </w:num>
  <w:num w:numId="34" w16cid:durableId="1345522202">
    <w:abstractNumId w:val="19"/>
  </w:num>
  <w:num w:numId="35" w16cid:durableId="239365694">
    <w:abstractNumId w:val="33"/>
    <w:lvlOverride w:ilvl="0">
      <w:startOverride w:val="1"/>
    </w:lvlOverride>
  </w:num>
  <w:num w:numId="36" w16cid:durableId="405224131">
    <w:abstractNumId w:val="33"/>
  </w:num>
  <w:num w:numId="37" w16cid:durableId="89592319">
    <w:abstractNumId w:val="25"/>
  </w:num>
  <w:num w:numId="38" w16cid:durableId="357438140">
    <w:abstractNumId w:val="11"/>
  </w:num>
  <w:num w:numId="39" w16cid:durableId="494415556">
    <w:abstractNumId w:val="12"/>
  </w:num>
  <w:num w:numId="40" w16cid:durableId="802844126">
    <w:abstractNumId w:val="19"/>
  </w:num>
  <w:num w:numId="41" w16cid:durableId="1148857811">
    <w:abstractNumId w:val="1"/>
  </w:num>
  <w:num w:numId="42" w16cid:durableId="1639335232">
    <w:abstractNumId w:val="19"/>
  </w:num>
  <w:num w:numId="43" w16cid:durableId="1889762177">
    <w:abstractNumId w:val="19"/>
  </w:num>
  <w:num w:numId="44" w16cid:durableId="1066417430">
    <w:abstractNumId w:val="20"/>
  </w:num>
  <w:num w:numId="45" w16cid:durableId="744229429">
    <w:abstractNumId w:val="16"/>
  </w:num>
  <w:num w:numId="46" w16cid:durableId="15784438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0214"/>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4529"/>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27CDB"/>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4AEF"/>
    <w:rsid w:val="00475496"/>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10747"/>
    <w:rsid w:val="005162EE"/>
    <w:rsid w:val="00520F93"/>
    <w:rsid w:val="00522196"/>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91D"/>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4A30"/>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3F0A"/>
    <w:rsid w:val="008C6C27"/>
    <w:rsid w:val="008C7AF0"/>
    <w:rsid w:val="008D09D0"/>
    <w:rsid w:val="008D0BD1"/>
    <w:rsid w:val="008D1092"/>
    <w:rsid w:val="008D29B7"/>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0ADF"/>
    <w:rsid w:val="00B0482C"/>
    <w:rsid w:val="00B06B74"/>
    <w:rsid w:val="00B126D3"/>
    <w:rsid w:val="00B149FD"/>
    <w:rsid w:val="00B2006E"/>
    <w:rsid w:val="00B24CB2"/>
    <w:rsid w:val="00B2524A"/>
    <w:rsid w:val="00B25D30"/>
    <w:rsid w:val="00B3344A"/>
    <w:rsid w:val="00B34550"/>
    <w:rsid w:val="00B35721"/>
    <w:rsid w:val="00B36973"/>
    <w:rsid w:val="00B428A4"/>
    <w:rsid w:val="00B43C60"/>
    <w:rsid w:val="00B4421B"/>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47DFE"/>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E1D"/>
    <w:rsid w:val="00CC4EBE"/>
    <w:rsid w:val="00CC5A8D"/>
    <w:rsid w:val="00CC629A"/>
    <w:rsid w:val="00CC747B"/>
    <w:rsid w:val="00CD258C"/>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124"/>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25CC"/>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548C"/>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522196"/>
    <w:pPr>
      <w:numPr>
        <w:ilvl w:val="1"/>
        <w:numId w:val="27"/>
      </w:numPr>
      <w:spacing w:after="240"/>
      <w:ind w:left="993" w:hanging="566"/>
      <w:outlineLvl w:val="1"/>
    </w:pPr>
    <w:rPr>
      <w:bCs/>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522196"/>
    <w:rPr>
      <w:rFonts w:ascii="Times New Roman" w:eastAsia="Times New Roman" w:hAnsi="Times New Roman"/>
      <w:bCs/>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ZTEFHTVZVU1pjMGpCRkt2SElaWTk5bDRieTI3cHBX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HRfCVYw2XoCxsQGBuvjTnsQNIvH55bfAb65fPC0tY1w=</DigestValue>
      </Reference>
      <Reference URI="#INFO">
        <DigestMethod Algorithm="http://www.w3.org/2001/04/xmlenc#sha256"/>
        <DigestValue>NjjdyXFl7xWlsaeOY2QBS2gcA+qBpDxbZaDDcscTBp8=</DigestValue>
      </Reference>
    </SignedInfo>
    <SignatureValue>ODQnf2gMlosE5FW40pNB5kdDKMma79OUWsIDw0gY5RbJiJyFoY95Jq7pFGlJSyi2cvS8kwb0S6EIWk9O0v2L8Q==</SignatureValue>
    <Object Id="INFO">
      <ArrayOfString xmlns:xsd="http://www.w3.org/2001/XMLSchema" xmlns:xsi="http://www.w3.org/2001/XMLSchema-instance" xmlns="">
        <string>YLAGMVUSZc0jBFKvHIZY99l4by27ppWz</string>
      </ArrayOfString>
    </Object>
  </Signature>
</WrappedLabelInfo>
</file>

<file path=customXml/itemProps1.xml><?xml version="1.0" encoding="utf-8"?>
<ds:datastoreItem xmlns:ds="http://schemas.openxmlformats.org/officeDocument/2006/customXml" ds:itemID="{50AEC4CC-31CF-4C75-9846-2F436B29F394}">
  <ds:schemaRefs>
    <ds:schemaRef ds:uri="http://schemas.openxmlformats.org/officeDocument/2006/bibliography"/>
  </ds:schemaRefs>
</ds:datastoreItem>
</file>

<file path=customXml/itemProps2.xml><?xml version="1.0" encoding="utf-8"?>
<ds:datastoreItem xmlns:ds="http://schemas.openxmlformats.org/officeDocument/2006/customXml" ds:itemID="{91F6461B-367A-4D7F-B7DB-BC2EC447754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1D74DB6-E2E2-4DE6-A6D3-5937886BBE9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2407</Words>
  <Characters>16663</Characters>
  <Application>Microsoft Office Word</Application>
  <DocSecurity>0</DocSecurity>
  <Lines>320</Lines>
  <Paragraphs>150</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KUCHARSKA Katarzyna</cp:lastModifiedBy>
  <cp:revision>47</cp:revision>
  <cp:lastPrinted>2024-04-03T07:41:00Z</cp:lastPrinted>
  <dcterms:created xsi:type="dcterms:W3CDTF">2023-02-02T14:04:00Z</dcterms:created>
  <dcterms:modified xsi:type="dcterms:W3CDTF">2025-10-03T10:31:00Z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Tomasz Leszega</vt:lpwstr>
  </property>
  <property fmtid="{D5CDD505-2E9C-101B-9397-08002B2CF9AE}" pid="7" name="s5636:Creator type=organization">
    <vt:lpwstr>MILNET-Z</vt:lpwstr>
  </property>
  <property fmtid="{D5CDD505-2E9C-101B-9397-08002B2CF9AE}" pid="8" name="s5636:Creator type=IP">
    <vt:lpwstr>10.50.26.113</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